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EF62" w14:textId="77777777" w:rsidR="00083B04" w:rsidRDefault="00083B04" w:rsidP="00186D49">
      <w:pPr>
        <w:ind w:left="720" w:right="855"/>
        <w:jc w:val="both"/>
        <w:textAlignment w:val="center"/>
        <w:rPr>
          <w:rFonts w:eastAsia="Times New Roman" w:cs="Arial"/>
          <w:i/>
          <w:iCs/>
          <w:color w:val="000000" w:themeColor="text1"/>
          <w:szCs w:val="20"/>
          <w:shd w:val="clear" w:color="auto" w:fill="FFFFFF"/>
          <w:lang w:val="en-CA"/>
        </w:rPr>
      </w:pPr>
      <w:r>
        <w:rPr>
          <w:rFonts w:eastAsia="Times New Roman" w:cs="Arial"/>
          <w:i/>
          <w:iCs/>
          <w:color w:val="000000" w:themeColor="text1"/>
          <w:szCs w:val="20"/>
          <w:shd w:val="clear" w:color="auto" w:fill="FFFFFF"/>
          <w:lang w:val="en-CA"/>
        </w:rPr>
        <w:t xml:space="preserve">Nature </w:t>
      </w:r>
      <w:proofErr w:type="spellStart"/>
      <w:r>
        <w:rPr>
          <w:rFonts w:eastAsia="Times New Roman" w:cs="Arial"/>
          <w:i/>
          <w:iCs/>
          <w:color w:val="000000" w:themeColor="text1"/>
          <w:szCs w:val="20"/>
          <w:shd w:val="clear" w:color="auto" w:fill="FFFFFF"/>
          <w:lang w:val="en-CA"/>
        </w:rPr>
        <w:t>Nanaimo</w:t>
      </w:r>
    </w:p>
    <w:p w14:paraId="4D8686E7" w14:textId="77777777" w:rsidR="00083B04" w:rsidRDefault="00083B04" w:rsidP="00186D49">
      <w:pPr>
        <w:ind w:left="720" w:right="855"/>
        <w:jc w:val="both"/>
        <w:textAlignment w:val="center"/>
        <w:rPr>
          <w:rFonts w:eastAsia="Times New Roman" w:cs="Arial"/>
          <w:i/>
          <w:iCs/>
          <w:color w:val="000000" w:themeColor="text1"/>
          <w:szCs w:val="20"/>
          <w:shd w:val="clear" w:color="auto" w:fill="FFFFFF"/>
          <w:lang w:val="en-CA"/>
        </w:rPr>
      </w:pPr>
      <w:proofErr w:type="spellEnd"/>
    </w:p>
    <w:p w14:paraId="56EF0970" w14:textId="63FA6E7D"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Notice of Motion</w:t>
      </w:r>
      <w:r w:rsidR="00083B04">
        <w:rPr>
          <w:rFonts w:eastAsia="Times New Roman" w:cs="Arial"/>
          <w:i/>
          <w:iCs/>
          <w:color w:val="000000" w:themeColor="text1"/>
          <w:szCs w:val="20"/>
          <w:shd w:val="clear" w:color="auto" w:fill="FFFFFF"/>
          <w:lang w:val="en-CA"/>
        </w:rPr>
        <w:t xml:space="preserve"> for AGM - Sunday, November 14</w:t>
      </w:r>
      <w:r w:rsidR="00083B04" w:rsidRPr="00083B04">
        <w:rPr>
          <w:rFonts w:eastAsia="Times New Roman" w:cs="Arial"/>
          <w:i/>
          <w:iCs/>
          <w:color w:val="000000" w:themeColor="text1"/>
          <w:szCs w:val="20"/>
          <w:shd w:val="clear" w:color="auto" w:fill="FFFFFF"/>
          <w:vertAlign w:val="superscript"/>
          <w:lang w:val="en-CA"/>
        </w:rPr>
        <w:t>th</w:t>
      </w:r>
      <w:r w:rsidR="00083B04">
        <w:rPr>
          <w:rFonts w:eastAsia="Times New Roman" w:cs="Arial"/>
          <w:i/>
          <w:iCs/>
          <w:color w:val="000000" w:themeColor="text1"/>
          <w:szCs w:val="20"/>
          <w:shd w:val="clear" w:color="auto" w:fill="FFFFFF"/>
          <w:lang w:val="en-CA"/>
        </w:rPr>
        <w:t>, 2021</w:t>
      </w:r>
    </w:p>
    <w:p w14:paraId="2B49E4C1"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 </w:t>
      </w:r>
    </w:p>
    <w:p w14:paraId="4CD99C80" w14:textId="77777777" w:rsidR="00186D49" w:rsidRPr="00083B04" w:rsidRDefault="00186D49" w:rsidP="00186D49">
      <w:pPr>
        <w:ind w:left="720" w:right="855"/>
        <w:jc w:val="both"/>
        <w:textAlignment w:val="center"/>
        <w:rPr>
          <w:rFonts w:eastAsia="Times New Roman" w:cs="Arial"/>
          <w:color w:val="000000" w:themeColor="text1"/>
          <w:sz w:val="24"/>
          <w:szCs w:val="24"/>
          <w:u w:val="single"/>
          <w:shd w:val="clear" w:color="auto" w:fill="FFFFFF"/>
          <w:lang w:val="en-CA"/>
        </w:rPr>
      </w:pPr>
      <w:r w:rsidRPr="00083B04">
        <w:rPr>
          <w:rFonts w:eastAsia="Times New Roman" w:cs="Arial"/>
          <w:b/>
          <w:bCs/>
          <w:i/>
          <w:iCs/>
          <w:color w:val="000000" w:themeColor="text1"/>
          <w:szCs w:val="20"/>
          <w:u w:val="single"/>
          <w:shd w:val="clear" w:color="auto" w:fill="FFFFFF"/>
          <w:lang w:val="en-CA"/>
        </w:rPr>
        <w:t>Ethical no-gambling funding</w:t>
      </w:r>
    </w:p>
    <w:p w14:paraId="5355B2EA"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 </w:t>
      </w:r>
    </w:p>
    <w:p w14:paraId="19BDA1BD"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While the government of B.C. becomes increasingly addicted to the lucrative business of organised gambling at the expense of vulnerable British Columbians, and continues to expand its gaming activities, it has proceeded to break a social contract made with B.C.'s citizens.</w:t>
      </w:r>
    </w:p>
    <w:p w14:paraId="1AF28443"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 </w:t>
      </w:r>
    </w:p>
    <w:p w14:paraId="64C8C572"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Critics say that casinos result in social problems for the most defenceless sector of our society.</w:t>
      </w:r>
    </w:p>
    <w:p w14:paraId="054B8EB8"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 </w:t>
      </w:r>
    </w:p>
    <w:p w14:paraId="3EAED653"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We cannot and should not support this exploitation of the weak.</w:t>
      </w:r>
    </w:p>
    <w:p w14:paraId="546111CE"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 </w:t>
      </w:r>
    </w:p>
    <w:p w14:paraId="2AF4FC01"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We should be looking for other forms of funding, both governmental and private agencies.</w:t>
      </w:r>
    </w:p>
    <w:p w14:paraId="137488FC" w14:textId="77777777" w:rsidR="00186D49" w:rsidRPr="00186D49" w:rsidRDefault="00186D49" w:rsidP="00186D49">
      <w:pPr>
        <w:ind w:left="720" w:right="855"/>
        <w:jc w:val="both"/>
        <w:textAlignment w:val="center"/>
        <w:rPr>
          <w:rFonts w:eastAsia="Times New Roman" w:cs="Arial"/>
          <w:color w:val="000000" w:themeColor="text1"/>
          <w:sz w:val="24"/>
          <w:szCs w:val="24"/>
          <w:shd w:val="clear" w:color="auto" w:fill="FFFFFF"/>
          <w:lang w:val="en-CA"/>
        </w:rPr>
      </w:pPr>
      <w:r w:rsidRPr="00186D49">
        <w:rPr>
          <w:rFonts w:eastAsia="Times New Roman" w:cs="Arial"/>
          <w:i/>
          <w:iCs/>
          <w:color w:val="000000" w:themeColor="text1"/>
          <w:szCs w:val="20"/>
          <w:shd w:val="clear" w:color="auto" w:fill="FFFFFF"/>
          <w:lang w:val="en-CA"/>
        </w:rPr>
        <w:t> </w:t>
      </w:r>
    </w:p>
    <w:p w14:paraId="78B7DE1F" w14:textId="2C8C8C7C" w:rsidR="00186D49" w:rsidRPr="00186D49" w:rsidRDefault="00186D49" w:rsidP="00186D49">
      <w:pPr>
        <w:shd w:val="clear" w:color="auto" w:fill="FFFFFF"/>
        <w:ind w:left="720" w:right="855"/>
        <w:jc w:val="both"/>
        <w:textAlignment w:val="center"/>
        <w:rPr>
          <w:rFonts w:eastAsia="Times New Roman" w:cs="Arial"/>
          <w:color w:val="000000" w:themeColor="text1"/>
          <w:sz w:val="24"/>
          <w:szCs w:val="24"/>
          <w:lang w:val="en-CA"/>
        </w:rPr>
      </w:pPr>
      <w:r w:rsidRPr="00186D49">
        <w:rPr>
          <w:rFonts w:eastAsia="Times New Roman" w:cs="Arial"/>
          <w:i/>
          <w:iCs/>
          <w:color w:val="000000" w:themeColor="text1"/>
          <w:szCs w:val="20"/>
          <w:lang w:val="en-CA"/>
        </w:rPr>
        <w:t xml:space="preserve">M/S Michael </w:t>
      </w:r>
      <w:proofErr w:type="spellStart"/>
      <w:r w:rsidRPr="00186D49">
        <w:rPr>
          <w:rFonts w:eastAsia="Times New Roman" w:cs="Arial"/>
          <w:i/>
          <w:iCs/>
          <w:color w:val="000000" w:themeColor="text1"/>
          <w:szCs w:val="20"/>
          <w:lang w:val="en-CA"/>
        </w:rPr>
        <w:t>Stebbings</w:t>
      </w:r>
      <w:proofErr w:type="spellEnd"/>
      <w:r w:rsidRPr="00186D49">
        <w:rPr>
          <w:rFonts w:eastAsia="Times New Roman" w:cs="Arial"/>
          <w:i/>
          <w:iCs/>
          <w:color w:val="000000" w:themeColor="text1"/>
          <w:szCs w:val="20"/>
          <w:lang w:val="en-CA"/>
        </w:rPr>
        <w:t>/</w:t>
      </w:r>
      <w:proofErr w:type="spellStart"/>
      <w:r w:rsidRPr="00186D49">
        <w:rPr>
          <w:rFonts w:eastAsia="Times New Roman" w:cs="Arial"/>
          <w:i/>
          <w:iCs/>
          <w:color w:val="000000" w:themeColor="text1"/>
          <w:szCs w:val="20"/>
          <w:lang w:val="en-CA"/>
        </w:rPr>
        <w:t>Staffan</w:t>
      </w:r>
      <w:proofErr w:type="spellEnd"/>
      <w:r w:rsidRPr="00186D49">
        <w:rPr>
          <w:rFonts w:eastAsia="Times New Roman" w:cs="Arial"/>
          <w:i/>
          <w:iCs/>
          <w:color w:val="000000" w:themeColor="text1"/>
          <w:szCs w:val="20"/>
          <w:lang w:val="en-CA"/>
        </w:rPr>
        <w:t xml:space="preserve"> Lindgren that Nature Nanaimo adopts a no-gambling funding policy.</w:t>
      </w:r>
    </w:p>
    <w:p w14:paraId="6415F335" w14:textId="66D365A3" w:rsidR="00FD5CB6" w:rsidRPr="00186D49" w:rsidRDefault="00FD5CB6" w:rsidP="00186D49"/>
    <w:sectPr w:rsidR="00FD5CB6" w:rsidRPr="00186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5450"/>
    <w:multiLevelType w:val="hybridMultilevel"/>
    <w:tmpl w:val="AC54BA04"/>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F"/>
    <w:rsid w:val="00083B04"/>
    <w:rsid w:val="00186D49"/>
    <w:rsid w:val="005F7A5F"/>
    <w:rsid w:val="006429EF"/>
    <w:rsid w:val="00F84DCE"/>
    <w:rsid w:val="00FD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D235CD"/>
  <w15:chartTrackingRefBased/>
  <w15:docId w15:val="{073FB454-A1AE-1745-9695-04E62144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5F"/>
    <w:rPr>
      <w:rFonts w:ascii="Arial"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Fraser</dc:creator>
  <cp:keywords/>
  <dc:description/>
  <cp:lastModifiedBy>Doug Fraser</cp:lastModifiedBy>
  <cp:revision>3</cp:revision>
  <dcterms:created xsi:type="dcterms:W3CDTF">2021-11-09T01:26:00Z</dcterms:created>
  <dcterms:modified xsi:type="dcterms:W3CDTF">2021-11-09T02:31:00Z</dcterms:modified>
</cp:coreProperties>
</file>